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bookmarkStart w:colFirst="0" w:colLast="0" w:name="_heading=h.gjdgxs" w:id="0"/>
      <w:bookmarkEnd w:id="0"/>
      <w:r w:rsidDel="00000000" w:rsidR="00000000" w:rsidRPr="00000000">
        <w:rPr>
          <w:b w:val="1"/>
          <w:rtl w:val="0"/>
        </w:rPr>
        <w:t xml:space="preserve">CONCEPTUALISATION OF </w:t>
      </w:r>
      <w:r w:rsidDel="00000000" w:rsidR="00000000" w:rsidRPr="00000000">
        <w:rPr>
          <w:b w:val="1"/>
          <w:smallCaps w:val="1"/>
          <w:rtl w:val="0"/>
        </w:rPr>
        <w:t xml:space="preserve">COMMUNITY EDUCATION PROGRAMMES</w:t>
      </w:r>
      <w:r w:rsidDel="00000000" w:rsidR="00000000" w:rsidRPr="00000000">
        <w:rPr>
          <w:b w:val="1"/>
          <w:rtl w:val="0"/>
        </w:rPr>
        <w:t xml:space="preserve"> (CEP)</w:t>
      </w:r>
    </w:p>
    <w:p w:rsidR="00000000" w:rsidDel="00000000" w:rsidP="00000000" w:rsidRDefault="00000000" w:rsidRPr="00000000" w14:paraId="00000002">
      <w:pPr>
        <w:jc w:val="both"/>
        <w:rPr/>
      </w:pPr>
      <w:r w:rsidDel="00000000" w:rsidR="00000000" w:rsidRPr="00000000">
        <w:rPr>
          <w:rtl w:val="0"/>
        </w:rPr>
        <w:t xml:space="preserve">Irna Senekal</w:t>
      </w:r>
    </w:p>
    <w:p w:rsidR="00000000" w:rsidDel="00000000" w:rsidP="00000000" w:rsidRDefault="00000000" w:rsidRPr="00000000" w14:paraId="00000003">
      <w:pPr>
        <w:jc w:val="both"/>
        <w:rPr/>
      </w:pPr>
      <w:r w:rsidDel="00000000" w:rsidR="00000000" w:rsidRPr="00000000">
        <w:rPr>
          <w:rtl w:val="0"/>
        </w:rPr>
        <w:t xml:space="preserve">CIPSET</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brief description of what the project aims to do.</w:t>
      </w:r>
    </w:p>
    <w:p w:rsidR="00000000" w:rsidDel="00000000" w:rsidP="00000000" w:rsidRDefault="00000000" w:rsidRPr="00000000" w14:paraId="00000006">
      <w:pPr>
        <w:jc w:val="both"/>
        <w:rPr/>
      </w:pPr>
      <w:r w:rsidDel="00000000" w:rsidR="00000000" w:rsidRPr="00000000">
        <w:rPr>
          <w:rtl w:val="0"/>
        </w:rPr>
        <w:t xml:space="preserve">Our research question was: How can public adult learning centres be transformed to offer learning opportunities throughout life that play a role in youth and adults organising themselves to work together, to provide social support, build unity, claim their rights, develop their community and transform society?</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Our research proposal to the EPC</w:t>
      </w:r>
      <w:r w:rsidDel="00000000" w:rsidR="00000000" w:rsidRPr="00000000">
        <w:rPr>
          <w:vertAlign w:val="superscript"/>
        </w:rPr>
        <w:footnoteReference w:customMarkFollows="0" w:id="0"/>
      </w:r>
      <w:r w:rsidDel="00000000" w:rsidR="00000000" w:rsidRPr="00000000">
        <w:rPr>
          <w:rtl w:val="0"/>
        </w:rPr>
        <w:t xml:space="preserve"> said that we wanted to explore new possibilities for adult community education. We aimed to work with people who are excluded from the labour market and wanted our work to talk to their lived experience. We wanted through our work to make explicit the global arrangements of power that shape the relationship between education &amp; training, the economy and society. We wanted to understand from the perspective of poor and marginal people what are the knowledge and skills they consider worthwhile learning in building a more equal, just and sustainable society. We wanted to act in support of emerging alternatives and in increasing the space for alternatives to take hold and become self-sustainable. We said then that we were interested in making explicit a pedagogy to support this work.</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is the project conceptualized by those involved in the project </w:t>
      </w:r>
    </w:p>
    <w:p w:rsidR="00000000" w:rsidDel="00000000" w:rsidP="00000000" w:rsidRDefault="00000000" w:rsidRPr="00000000" w14:paraId="0000000B">
      <w:pPr>
        <w:jc w:val="both"/>
        <w:rPr/>
      </w:pPr>
      <w:r w:rsidDel="00000000" w:rsidR="00000000" w:rsidRPr="00000000">
        <w:rPr>
          <w:rtl w:val="0"/>
        </w:rPr>
        <w:t xml:space="preserve">We saw our work located in a historical period that is defined globally by growing inequality, exclusion, alienation and injustice to nature. Dominant forms of education we believe, are complicit in this situation The White Paper</w:t>
      </w:r>
      <w:r w:rsidDel="00000000" w:rsidR="00000000" w:rsidRPr="00000000">
        <w:rPr>
          <w:vertAlign w:val="superscript"/>
        </w:rPr>
        <w:footnoteReference w:customMarkFollows="0" w:id="1"/>
      </w:r>
      <w:r w:rsidDel="00000000" w:rsidR="00000000" w:rsidRPr="00000000">
        <w:rPr>
          <w:rtl w:val="0"/>
        </w:rPr>
        <w:t xml:space="preserve"> acknowledges some of this when it says that: “the [education] system still produces and reproduces inequalities through gender, class, racial and geographic divides.”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The dominant explanations for inequality and exclusion have framed these issues as problems of educational access and provisioning - insufficient resources, weak infrastructure, inadequate staffing, underqualified staff, the relevance of curricula and qualifications, poor articulation and so on. These are all important issues which need attention, but a narrow focus on these issues easily render capitalist relations invisible in the problems of education. They don’t necessarily raise the big question of the purpose of education, nor do they speak to the social; the relationship between knowledge; the curriculum and pedagogy; between learning and consciousness; nor about how we understand social change.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We wanted to see if it was possible as educators and learners to create participatory democratic education. We wanted space where educators and learners work together to build knowledge about how non-formal community education programmes can emerge through an iterative cycle of investigation, organising, reflection, learning and action. We wanted the focus of these programmes to surface from the issues and challenges that were considered important by people living in a specific locality, and to connect a shared analysis and understanding of these local issues to a wider critique of our society and its historical epoch. We wanted a more radical space where the social context and power relations that shape our lives can be understood and challenged - “reading the world” - and where people act collectively to increase the possibilities for alternative thinking and practice to emerge and take root.</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We conceived of the development of education programmes as starting from the concrete lived experience of community participants. We attempt to work together in a way that disrupts and challenges hierarchies or power and creates and recreates autonomy and co-operation as alternatives to oppression and managerial systems. Through a community-based participatory action research process educators and learners investigate this everyday and -night experience, describe it in rich detail using a range of visual, oral, and text-based methods. We compare and contrast stories of individual experience, we ask critical questions and sometimes add ‘book’ knowledge, we explore contradictions and articulate possible alternatives. We consult with a wider community, organise and initiate collective action.</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We thought that this work will help us explore the role of education in the development of civic agency; solidaristic forms of organisation and work that lie outside of the domination of people and nature; and in socially and ecologically useful community knowledge.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Some concepts</w:t>
      </w:r>
    </w:p>
    <w:p w:rsidR="00000000" w:rsidDel="00000000" w:rsidP="00000000" w:rsidRDefault="00000000" w:rsidRPr="00000000" w14:paraId="00000016">
      <w:pPr>
        <w:jc w:val="both"/>
        <w:rPr/>
      </w:pPr>
      <w:r w:rsidDel="00000000" w:rsidR="00000000" w:rsidRPr="00000000">
        <w:rPr>
          <w:rtl w:val="0"/>
        </w:rPr>
        <w:t xml:space="preserve">We conceived of a </w:t>
      </w:r>
      <w:r w:rsidDel="00000000" w:rsidR="00000000" w:rsidRPr="00000000">
        <w:rPr>
          <w:i w:val="1"/>
          <w:rtl w:val="0"/>
        </w:rPr>
        <w:t xml:space="preserve">community college</w:t>
      </w:r>
      <w:r w:rsidDel="00000000" w:rsidR="00000000" w:rsidRPr="00000000">
        <w:rPr>
          <w:rtl w:val="0"/>
        </w:rPr>
        <w:t xml:space="preserve"> as a network of community learning centres and community learning and investigating circles (CLICs) involved in formal and non-formal education. We saw community education as not necessarily located in a fixed space, but rather situated in community spaces and working in community institutions which exist for the common good. Learners connected to our work added the idea of Community Learning Centres as multi-functional spaces which give access to resources, such as a library, workshops with hand tools, internet, community food and medicinal gardens and sports fields; which provide services such as meals and child care; which support a range of cultural expressions such as community theatre, writing and poetry sessions, and the exploration of indigenous knowledge; and which incorporate ecologically friendly design and practices. Within this rich imagining they argued lie a myriad opportunities for non-formal community education, that is qualitatively different from non-formal education based on a list of predetermined training needs. This notion also sees </w:t>
      </w:r>
      <w:r w:rsidDel="00000000" w:rsidR="00000000" w:rsidRPr="00000000">
        <w:rPr>
          <w:i w:val="1"/>
          <w:rtl w:val="0"/>
        </w:rPr>
        <w:t xml:space="preserve">community education</w:t>
      </w:r>
      <w:r w:rsidDel="00000000" w:rsidR="00000000" w:rsidRPr="00000000">
        <w:rPr>
          <w:rtl w:val="0"/>
        </w:rPr>
        <w:t xml:space="preserve"> as an approach to adult education and not as a separate area of practice.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On a similar note, we consider that </w:t>
      </w:r>
      <w:r w:rsidDel="00000000" w:rsidR="00000000" w:rsidRPr="00000000">
        <w:rPr>
          <w:i w:val="1"/>
          <w:rtl w:val="0"/>
        </w:rPr>
        <w:t xml:space="preserve">non-formal education</w:t>
      </w:r>
      <w:r w:rsidDel="00000000" w:rsidR="00000000" w:rsidRPr="00000000">
        <w:rPr>
          <w:rtl w:val="0"/>
        </w:rPr>
        <w:t xml:space="preserve"> is complementary to adult education linked to qualifications – educators and learners do and should cross these boundaries. Non-formal education is not simply informal learning that emerges on an ad hoc basis out of action or doing (and sometimes conscious reflection); rather we think of non-formal education as structured learning programmes that are situated in activity and which are socially useful.</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 starting place for our thinking has been to see “</w:t>
      </w:r>
      <w:r w:rsidDel="00000000" w:rsidR="00000000" w:rsidRPr="00000000">
        <w:rPr>
          <w:i w:val="1"/>
          <w:rtl w:val="0"/>
        </w:rPr>
        <w:t xml:space="preserve">community</w:t>
      </w:r>
      <w:r w:rsidDel="00000000" w:rsidR="00000000" w:rsidRPr="00000000">
        <w:rPr>
          <w:rtl w:val="0"/>
        </w:rPr>
        <w:t xml:space="preserve">” as a geographical space, but also as a community of interest. Community educators have pointed out in their analysis of access to energy sources in a geographical community, that community is also a rich set of relationships that are lived spatially, and in this conception it is a complex relational web which incorporates power differences, whilst at the same time recognises connection. This notion of community arises from diunital (both-and) thinking and is very different from a conception of community as either this or that. At the same time that there are communities of interest (difference) that emerge from contradictions within a geographical community, there are also multiple associated and connected interests between these communities (between youth and older adults; between those who are employed and those who are unemployed; between women and men). We think this conceptualisation of community means that the process of developing community education cannot simply proceed from the identification of a list of community “needs” defined by experts outside this community and targeted towards a specific ‘vulnerable’ group in a given community. It needs to emerge from and become situated in the lived and relational experience and of a geographical community, so that it can surface this complexity, enable its critical examination, contribute to strengthening positive associational interests in that community, connect to meaningful activity in that geographical community and reach out across geographical boundaries to other communities.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We also see that the idea of community has become central to policy – sometimes it is brought into play to pass off state responsibility as community responsibility. Community consultation has become a way in which the state consolidates power. Consultation appears to be widespread through local community structures (the informal face of the state), but the agenda is established outside that community and is not negotiable. Community becomes the way in which people are delivered to policy. We worry that community education, will become experienced as education that is not only for the marginalised but is in itself marginalised. It is against such empty and oppressive notions of community that we set our work.</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Dominant forms of </w:t>
      </w:r>
      <w:r w:rsidDel="00000000" w:rsidR="00000000" w:rsidRPr="00000000">
        <w:rPr>
          <w:i w:val="1"/>
          <w:rtl w:val="0"/>
        </w:rPr>
        <w:t xml:space="preserve">knowledge</w:t>
      </w:r>
      <w:r w:rsidDel="00000000" w:rsidR="00000000" w:rsidRPr="00000000">
        <w:rPr>
          <w:rtl w:val="0"/>
        </w:rPr>
        <w:t xml:space="preserve"> uphold existing social relations; are often embedded in our curricula, presented as common sense or hidden; we need an education that helps us produce transformative forms of knowledge – ‘really useful knowledge’  that helps to open space for transformative social relations to take root. And so we have thought about</w:t>
      </w:r>
      <w:r w:rsidDel="00000000" w:rsidR="00000000" w:rsidRPr="00000000">
        <w:rPr>
          <w:b w:val="1"/>
          <w:rtl w:val="0"/>
        </w:rPr>
        <w:t xml:space="preserve"> </w:t>
      </w:r>
      <w:r w:rsidDel="00000000" w:rsidR="00000000" w:rsidRPr="00000000">
        <w:rPr>
          <w:i w:val="1"/>
          <w:rtl w:val="0"/>
        </w:rPr>
        <w:t xml:space="preserve">curricula</w:t>
      </w:r>
      <w:r w:rsidDel="00000000" w:rsidR="00000000" w:rsidRPr="00000000">
        <w:rPr>
          <w:rtl w:val="0"/>
        </w:rPr>
        <w:t xml:space="preserve"> as ‘living’ – as fluid and ‘emerging’, rather than as a fixed set of established content and associated educational practice. For us developing curricula enable bringing pedagogy and different knowledge systems into a whole, enable questioning, and the generation of ‘really useful’ knowledge. We have used community-based participatory research as a theory and practice to bring to life participatory, flexible curricula. In this space educators and learners have autonomy to explore and define what is useful knowledge and learning. Creating the possibility for learning is shared – educators can learn from learners and learners can learn from educators and learners can learn from learners, we’ve argued.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In such a space home languages direct exploration and become the starting place for naming the world; and the place from which connections to other ‘worlds’ are sought. There is a code-switching of languages, to enable people to choose the language through which they learn or contribute. In this space knowledge is not only embedded in text, but in stories, songs, practices, and landscapes. A range of approaches can be used to explore what is regarded as useful and valued by such an educational community.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This means that the idea that everyone thinks and has knowledge and can build new knowledge; that everyone is a researcher, is central to our work. These issues are important in understanding our work because part of an active democracy is having access to education, but a truly emancipatory education cannot mirror dominant forms of schooling or develop by rote learning and so must cultivate and share the tools used to create knowledge as well as explore more deeply what we consider useful knowledge to be.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It also means that we seek to connect thought and practice into a constructive questioning tension in our work. We see learning as the movement of consciousness through this tension between thought (theory or reflection) and action. This learning opens us to the recognition that the world is not given, but has been made and we hold the power and agency, to reimagine and remake this world. </w:t>
      </w:r>
    </w:p>
    <w:p w:rsidR="00000000" w:rsidDel="00000000" w:rsidP="00000000" w:rsidRDefault="00000000" w:rsidRPr="00000000" w14:paraId="00000025">
      <w:pPr>
        <w:rPr/>
      </w:pPr>
      <w:r w:rsidDel="00000000" w:rsidR="00000000" w:rsidRPr="00000000">
        <w:rPr>
          <w:rtl w:val="0"/>
        </w:rPr>
      </w:r>
    </w:p>
    <w:sectPr>
      <w:pgSz w:h="15840" w:w="12240" w:orient="portrait"/>
      <w:pgMar w:bottom="900" w:top="900" w:left="9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Education Policy Consortium was a collaboration between the Universities of Fort Hare, the Witwatersrand, and Johannesburg, the then Nelson Mandela Metropolitan University and the Centre for Education Policy Development. The EPC received funding from DHET between 2013 and 2017 to research and propose policy alternatives linked to the new post-schooling environment promulgated at the end of 2013.</w:t>
      </w:r>
    </w:p>
  </w:footnote>
  <w:footnote w:id="1">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‘White Paper for Post-school Education and Training,’ was published by the DHET in November 2013. Amongst the key changes it proposed, was the recognition of community education as critical to developing post-schooling alternatives.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F3B2B"/>
    <w:pPr>
      <w:ind w:left="720"/>
      <w:contextualSpacing w:val="1"/>
    </w:pPr>
  </w:style>
  <w:style w:type="character" w:styleId="CommentReference">
    <w:name w:val="annotation reference"/>
    <w:basedOn w:val="DefaultParagraphFont"/>
    <w:uiPriority w:val="99"/>
    <w:semiHidden w:val="1"/>
    <w:unhideWhenUsed w:val="1"/>
    <w:rsid w:val="003D1B3B"/>
    <w:rPr>
      <w:sz w:val="16"/>
      <w:szCs w:val="16"/>
    </w:rPr>
  </w:style>
  <w:style w:type="paragraph" w:styleId="CommentText">
    <w:name w:val="annotation text"/>
    <w:basedOn w:val="Normal"/>
    <w:link w:val="CommentTextChar"/>
    <w:uiPriority w:val="99"/>
    <w:semiHidden w:val="1"/>
    <w:unhideWhenUsed w:val="1"/>
    <w:rsid w:val="003D1B3B"/>
    <w:pPr>
      <w:spacing w:after="200"/>
    </w:pPr>
    <w:rPr>
      <w:rFonts w:asciiTheme="minorHAnsi" w:hAnsiTheme="minorHAnsi"/>
      <w:sz w:val="20"/>
      <w:szCs w:val="20"/>
    </w:rPr>
  </w:style>
  <w:style w:type="character" w:styleId="CommentTextChar" w:customStyle="1">
    <w:name w:val="Comment Text Char"/>
    <w:basedOn w:val="DefaultParagraphFont"/>
    <w:link w:val="CommentText"/>
    <w:uiPriority w:val="99"/>
    <w:semiHidden w:val="1"/>
    <w:rsid w:val="003D1B3B"/>
    <w:rPr>
      <w:rFonts w:asciiTheme="minorHAnsi" w:hAnsiTheme="minorHAnsi"/>
      <w:sz w:val="20"/>
      <w:szCs w:val="20"/>
    </w:rPr>
  </w:style>
  <w:style w:type="paragraph" w:styleId="BalloonText">
    <w:name w:val="Balloon Text"/>
    <w:basedOn w:val="Normal"/>
    <w:link w:val="BalloonTextChar"/>
    <w:uiPriority w:val="99"/>
    <w:semiHidden w:val="1"/>
    <w:unhideWhenUsed w:val="1"/>
    <w:rsid w:val="003D1B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D1B3B"/>
    <w:rPr>
      <w:rFonts w:ascii="Tahoma" w:cs="Tahoma" w:hAnsi="Tahoma"/>
      <w:sz w:val="16"/>
      <w:szCs w:val="16"/>
    </w:rPr>
  </w:style>
  <w:style w:type="paragraph" w:styleId="FootnoteText">
    <w:name w:val="footnote text"/>
    <w:basedOn w:val="Normal"/>
    <w:link w:val="FootnoteTextChar"/>
    <w:uiPriority w:val="99"/>
    <w:semiHidden w:val="1"/>
    <w:unhideWhenUsed w:val="1"/>
    <w:rsid w:val="00952296"/>
    <w:rPr>
      <w:sz w:val="20"/>
      <w:szCs w:val="20"/>
    </w:rPr>
  </w:style>
  <w:style w:type="character" w:styleId="FootnoteTextChar" w:customStyle="1">
    <w:name w:val="Footnote Text Char"/>
    <w:basedOn w:val="DefaultParagraphFont"/>
    <w:link w:val="FootnoteText"/>
    <w:uiPriority w:val="99"/>
    <w:semiHidden w:val="1"/>
    <w:rsid w:val="00952296"/>
    <w:rPr>
      <w:sz w:val="20"/>
      <w:szCs w:val="20"/>
      <w:lang w:val="en-GB"/>
    </w:rPr>
  </w:style>
  <w:style w:type="character" w:styleId="FootnoteReference">
    <w:name w:val="footnote reference"/>
    <w:basedOn w:val="DefaultParagraphFont"/>
    <w:uiPriority w:val="99"/>
    <w:semiHidden w:val="1"/>
    <w:unhideWhenUsed w:val="1"/>
    <w:rsid w:val="00952296"/>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vLmpkz9AM7RWGSA20xWyE+Mwqw==">AMUW2mVYiH1BkorU5sLkBKhLOZRJAbFs3GOpsRaUFIAZeYd3nYHMZ153pBqzTtV+IjZBLIX3PyhMR/ohnWOjOhfVkPxFRNbuos22ihQq/U1JoOLsb4o6kKw8Ap0G+0D+DEtcYd5AKRNc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2021-02-07T13:46:00Z</dcterms:created>
  <dc:creator>Leurquain-Steyn, Sonya (Mrs) (Missionvale Campus)</dc:creator>
</cp:coreProperties>
</file>